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E4F" w:rsidRPr="00E36556" w:rsidRDefault="002264E7">
      <w:pPr>
        <w:rPr>
          <w:rFonts w:asciiTheme="majorHAnsi" w:hAnsiTheme="majorHAnsi"/>
          <w:b/>
          <w:sz w:val="21"/>
          <w:szCs w:val="21"/>
        </w:rPr>
      </w:pPr>
      <w:bookmarkStart w:id="0" w:name="_GoBack"/>
      <w:bookmarkEnd w:id="0"/>
      <w:r w:rsidRPr="00E36556">
        <w:rPr>
          <w:rFonts w:asciiTheme="majorHAnsi" w:hAnsiTheme="majorHAnsi"/>
          <w:b/>
          <w:sz w:val="21"/>
          <w:szCs w:val="21"/>
        </w:rPr>
        <w:t xml:space="preserve">ACTA Working Group to Increase Commission Involvement in ACTA and Enforcement of Part 68  </w:t>
      </w:r>
    </w:p>
    <w:p w:rsidR="002264E7" w:rsidRPr="00E36556" w:rsidRDefault="00C03A8D" w:rsidP="002264E7">
      <w:pPr>
        <w:pStyle w:val="ListParagraph"/>
        <w:numPr>
          <w:ilvl w:val="0"/>
          <w:numId w:val="1"/>
        </w:numPr>
        <w:rPr>
          <w:rFonts w:asciiTheme="majorHAnsi" w:hAnsiTheme="majorHAnsi"/>
          <w:sz w:val="21"/>
          <w:szCs w:val="21"/>
        </w:rPr>
      </w:pPr>
      <w:r w:rsidRPr="00E36556">
        <w:rPr>
          <w:rFonts w:asciiTheme="majorHAnsi" w:hAnsiTheme="majorHAnsi"/>
          <w:sz w:val="21"/>
          <w:szCs w:val="21"/>
        </w:rPr>
        <w:t>Since the last ACTA meeting, the WG has met twice. The next meeting has been scheduled for July 11</w:t>
      </w:r>
      <w:r w:rsidRPr="00E36556">
        <w:rPr>
          <w:rFonts w:asciiTheme="majorHAnsi" w:hAnsiTheme="majorHAnsi"/>
          <w:sz w:val="21"/>
          <w:szCs w:val="21"/>
          <w:vertAlign w:val="superscript"/>
        </w:rPr>
        <w:t>th</w:t>
      </w:r>
      <w:r w:rsidRPr="00E36556">
        <w:rPr>
          <w:rFonts w:asciiTheme="majorHAnsi" w:hAnsiTheme="majorHAnsi"/>
          <w:sz w:val="21"/>
          <w:szCs w:val="21"/>
        </w:rPr>
        <w:t xml:space="preserve">. </w:t>
      </w:r>
    </w:p>
    <w:p w:rsidR="002264E7" w:rsidRPr="00E36556" w:rsidRDefault="004375A9" w:rsidP="002264E7">
      <w:pPr>
        <w:pStyle w:val="ListParagraph"/>
        <w:numPr>
          <w:ilvl w:val="0"/>
          <w:numId w:val="1"/>
        </w:numPr>
        <w:rPr>
          <w:rFonts w:asciiTheme="majorHAnsi" w:hAnsiTheme="majorHAnsi"/>
          <w:sz w:val="21"/>
          <w:szCs w:val="21"/>
        </w:rPr>
      </w:pPr>
      <w:r w:rsidRPr="00E36556">
        <w:rPr>
          <w:rFonts w:asciiTheme="majorHAnsi" w:hAnsiTheme="majorHAnsi"/>
          <w:sz w:val="21"/>
          <w:szCs w:val="21"/>
        </w:rPr>
        <w:t xml:space="preserve">The WG has 6 active members not including staff.  </w:t>
      </w:r>
    </w:p>
    <w:p w:rsidR="004375A9" w:rsidRPr="00E36556" w:rsidRDefault="004375A9" w:rsidP="004375A9">
      <w:pPr>
        <w:pStyle w:val="ListParagraph"/>
        <w:numPr>
          <w:ilvl w:val="0"/>
          <w:numId w:val="1"/>
        </w:numPr>
        <w:rPr>
          <w:rFonts w:asciiTheme="majorHAnsi" w:hAnsiTheme="majorHAnsi"/>
          <w:sz w:val="21"/>
          <w:szCs w:val="21"/>
        </w:rPr>
      </w:pPr>
      <w:r w:rsidRPr="00E36556">
        <w:rPr>
          <w:rFonts w:asciiTheme="majorHAnsi" w:hAnsiTheme="majorHAnsi"/>
          <w:sz w:val="21"/>
          <w:szCs w:val="21"/>
        </w:rPr>
        <w:t xml:space="preserve">Some of the topics covered by the WG </w:t>
      </w:r>
      <w:r w:rsidR="00B255F3" w:rsidRPr="00E36556">
        <w:rPr>
          <w:rFonts w:asciiTheme="majorHAnsi" w:hAnsiTheme="majorHAnsi"/>
          <w:sz w:val="21"/>
          <w:szCs w:val="21"/>
        </w:rPr>
        <w:t>have been/</w:t>
      </w:r>
      <w:r w:rsidRPr="00E36556">
        <w:rPr>
          <w:rFonts w:asciiTheme="majorHAnsi" w:hAnsiTheme="majorHAnsi"/>
          <w:sz w:val="21"/>
          <w:szCs w:val="21"/>
        </w:rPr>
        <w:t xml:space="preserve">are: </w:t>
      </w:r>
    </w:p>
    <w:p w:rsidR="00C03A8D" w:rsidRPr="00E36556" w:rsidRDefault="00C03A8D" w:rsidP="00C03A8D">
      <w:pPr>
        <w:pStyle w:val="ListParagraph"/>
        <w:numPr>
          <w:ilvl w:val="1"/>
          <w:numId w:val="1"/>
        </w:numPr>
        <w:spacing w:after="0" w:line="240" w:lineRule="auto"/>
        <w:rPr>
          <w:rFonts w:asciiTheme="majorHAnsi" w:hAnsiTheme="majorHAnsi" w:cs="Calibri"/>
          <w:sz w:val="21"/>
          <w:szCs w:val="21"/>
        </w:rPr>
      </w:pPr>
      <w:r w:rsidRPr="00E36556">
        <w:rPr>
          <w:rFonts w:asciiTheme="majorHAnsi" w:hAnsiTheme="majorHAnsi" w:cs="Calibri"/>
          <w:sz w:val="21"/>
          <w:szCs w:val="21"/>
        </w:rPr>
        <w:t xml:space="preserve">HAC Consumer groups were identified and reached out to for the possibility of a meeting w/ the WG to discuss enforcement. Specific emphasis should be placed on the impact that non-compliance with Part 68 can have on the HAC groups and their constituents.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It was noted that 4 HAC Consumer Groups were contacted by the Secretariat to determine if there was any interest in meeting w/ the WG to discuss enforcement issues, especially with regard to HAC. The Secretariat only heard back from one group, which requested more information, but said that they were unable to meet w/ the WG at this time.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It was noted that HAC Consumer Groups are currently very involved in a number of Federal Advisory Groups, and therefore might not have the time to meet w/ the WG at this time.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The WG agreed to put this on the ‘back burner’, but that they would continue to inform the HAC Consumer Groups of the activities of the WG. (NOTE: After the meeting, the Secretariat received an email from the one group who responded initially, requesting that the WG keeps it informed of future activities).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Participants reviewed a draft Part 68 Enforcement Advisory. After discussion, they agreed to send the advisory to the FCC with a letter requesting that the FCC issue the advisory. It was noted that an appropriate time table for action by the FCC would be included. </w:t>
      </w:r>
      <w:r w:rsidRPr="00E36556">
        <w:rPr>
          <w:rFonts w:asciiTheme="majorHAnsi" w:hAnsiTheme="majorHAnsi" w:cstheme="minorHAnsi"/>
          <w:i/>
          <w:sz w:val="21"/>
          <w:szCs w:val="21"/>
        </w:rPr>
        <w:t>This item is on the agenda for the Executive Committee Meeting.</w:t>
      </w:r>
      <w:r w:rsidRPr="00E36556">
        <w:rPr>
          <w:rFonts w:asciiTheme="majorHAnsi" w:hAnsiTheme="majorHAnsi" w:cstheme="minorHAnsi"/>
          <w:sz w:val="21"/>
          <w:szCs w:val="21"/>
        </w:rPr>
        <w:t xml:space="preserve">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Participants discussed some possible next steps, if the FCC does not issue the advisory.</w:t>
      </w:r>
    </w:p>
    <w:p w:rsidR="00C03A8D" w:rsidRPr="00E36556" w:rsidRDefault="00C03A8D" w:rsidP="00C03A8D">
      <w:pPr>
        <w:pStyle w:val="ListParagraph"/>
        <w:numPr>
          <w:ilvl w:val="2"/>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 It was disused that ACTA would issue the document as an Industry advisory </w:t>
      </w:r>
    </w:p>
    <w:p w:rsidR="00C03A8D" w:rsidRPr="00E36556" w:rsidRDefault="00C03A8D" w:rsidP="00C03A8D">
      <w:pPr>
        <w:pStyle w:val="ListParagraph"/>
        <w:numPr>
          <w:ilvl w:val="2"/>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It was discussed that ACTA could set up meetings on the Hill or within the Executive Branch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Participants discussed that lack of enforcement could be a resource issue. It was noted that this information would be useful for meeting on the Hill or within the Executive Branch. The WG is doing additional research on this topic. </w:t>
      </w:r>
    </w:p>
    <w:p w:rsidR="00C03A8D" w:rsidRPr="00E36556" w:rsidRDefault="00C03A8D" w:rsidP="00C03A8D">
      <w:pPr>
        <w:pStyle w:val="ListParagraph"/>
        <w:numPr>
          <w:ilvl w:val="1"/>
          <w:numId w:val="1"/>
        </w:numPr>
        <w:spacing w:after="0" w:line="240" w:lineRule="auto"/>
        <w:rPr>
          <w:rFonts w:asciiTheme="majorHAnsi" w:hAnsiTheme="majorHAnsi" w:cs="Calibri"/>
          <w:sz w:val="21"/>
          <w:szCs w:val="21"/>
        </w:rPr>
      </w:pPr>
      <w:r w:rsidRPr="00E36556">
        <w:rPr>
          <w:rFonts w:asciiTheme="majorHAnsi" w:hAnsiTheme="majorHAnsi" w:cstheme="minorHAnsi"/>
          <w:sz w:val="21"/>
          <w:szCs w:val="21"/>
        </w:rPr>
        <w:t xml:space="preserve">It was noted that ACTA was tasked with maintaining the database for registration with Part 68 compliance, and therefore needs to do what is necessary to fulfill that task. </w:t>
      </w:r>
      <w:r w:rsidR="00D459E2" w:rsidRPr="00E36556">
        <w:rPr>
          <w:rFonts w:asciiTheme="majorHAnsi" w:hAnsiTheme="majorHAnsi" w:cstheme="minorHAnsi"/>
          <w:sz w:val="21"/>
          <w:szCs w:val="21"/>
        </w:rPr>
        <w:t xml:space="preserve">Participants discussed how ACTA should not hesitate to raise its filing fees, if that is what is necessary to </w:t>
      </w:r>
      <w:r w:rsidR="00D459E2">
        <w:rPr>
          <w:rFonts w:asciiTheme="majorHAnsi" w:hAnsiTheme="majorHAnsi" w:cstheme="minorHAnsi"/>
          <w:sz w:val="21"/>
          <w:szCs w:val="21"/>
        </w:rPr>
        <w:t>fulfill</w:t>
      </w:r>
      <w:r w:rsidR="00D459E2" w:rsidRPr="00E36556">
        <w:rPr>
          <w:rFonts w:asciiTheme="majorHAnsi" w:hAnsiTheme="majorHAnsi" w:cstheme="minorHAnsi"/>
          <w:sz w:val="21"/>
          <w:szCs w:val="21"/>
        </w:rPr>
        <w:t xml:space="preserve"> ACTA</w:t>
      </w:r>
      <w:r w:rsidR="00D459E2">
        <w:rPr>
          <w:rFonts w:asciiTheme="majorHAnsi" w:hAnsiTheme="majorHAnsi" w:cstheme="minorHAnsi"/>
          <w:sz w:val="21"/>
          <w:szCs w:val="21"/>
        </w:rPr>
        <w:t>’s responsibilities</w:t>
      </w:r>
      <w:r w:rsidR="00D459E2" w:rsidRPr="00E36556">
        <w:rPr>
          <w:rFonts w:asciiTheme="majorHAnsi" w:hAnsiTheme="majorHAnsi" w:cstheme="minorHAnsi"/>
          <w:sz w:val="21"/>
          <w:szCs w:val="21"/>
        </w:rPr>
        <w:t xml:space="preserve">. </w:t>
      </w:r>
      <w:r w:rsidRPr="00E36556">
        <w:rPr>
          <w:rFonts w:asciiTheme="majorHAnsi" w:hAnsiTheme="majorHAnsi" w:cstheme="minorHAnsi"/>
          <w:sz w:val="21"/>
          <w:szCs w:val="21"/>
        </w:rPr>
        <w:t xml:space="preserve">It was noted that this might eventually lead to the “current filers” complaining about the size of the fees to the FCC, but that this could give ACTA the platform it needs to get the FCC’s attention regarding the need for enforcement. Participants will continue to explore this idea. </w:t>
      </w:r>
    </w:p>
    <w:p w:rsidR="00C03A8D" w:rsidRPr="00E36556" w:rsidRDefault="00C03A8D" w:rsidP="00C03A8D">
      <w:pPr>
        <w:pStyle w:val="ListParagraph"/>
        <w:numPr>
          <w:ilvl w:val="1"/>
          <w:numId w:val="1"/>
        </w:numPr>
        <w:spacing w:after="0" w:line="240" w:lineRule="auto"/>
        <w:rPr>
          <w:rFonts w:asciiTheme="majorHAnsi" w:hAnsiTheme="majorHAnsi" w:cstheme="minorHAnsi"/>
          <w:sz w:val="21"/>
          <w:szCs w:val="21"/>
        </w:rPr>
      </w:pPr>
      <w:r w:rsidRPr="00E36556">
        <w:rPr>
          <w:rFonts w:asciiTheme="majorHAnsi" w:hAnsiTheme="majorHAnsi" w:cstheme="minorHAnsi"/>
          <w:sz w:val="21"/>
          <w:szCs w:val="21"/>
        </w:rPr>
        <w:t xml:space="preserve">Participants discussed the Customs process related to importation of telecommunications equipment. It was noted that the law states that equipment cannot be imported unless it meets (in vague and general terms) FCC Requirements. Participants discussed how this might be another venue to research in an effort to increase enforcement. </w:t>
      </w:r>
      <w:r w:rsidR="007D62F1">
        <w:rPr>
          <w:rFonts w:asciiTheme="majorHAnsi" w:hAnsiTheme="majorHAnsi" w:cstheme="minorHAnsi"/>
          <w:sz w:val="21"/>
          <w:szCs w:val="21"/>
        </w:rPr>
        <w:t xml:space="preserve">The WG is doing additional research on this topic. </w:t>
      </w:r>
    </w:p>
    <w:p w:rsidR="00C37CF8" w:rsidRPr="00E36556" w:rsidRDefault="00C37CF8" w:rsidP="00C37CF8">
      <w:pPr>
        <w:pStyle w:val="ListParagraph"/>
        <w:numPr>
          <w:ilvl w:val="0"/>
          <w:numId w:val="1"/>
        </w:numPr>
        <w:rPr>
          <w:rFonts w:asciiTheme="majorHAnsi" w:hAnsiTheme="majorHAnsi"/>
          <w:sz w:val="21"/>
          <w:szCs w:val="21"/>
        </w:rPr>
      </w:pPr>
      <w:r w:rsidRPr="00E36556">
        <w:rPr>
          <w:rFonts w:asciiTheme="majorHAnsi" w:hAnsiTheme="majorHAnsi"/>
          <w:sz w:val="21"/>
          <w:szCs w:val="21"/>
        </w:rPr>
        <w:t>Any IS Reps interested in participating on this WG should contact Milt Bush (</w:t>
      </w:r>
      <w:hyperlink r:id="rId8" w:history="1">
        <w:r w:rsidRPr="00E36556">
          <w:rPr>
            <w:rStyle w:val="Hyperlink"/>
            <w:rFonts w:asciiTheme="majorHAnsi" w:hAnsiTheme="majorHAnsi"/>
            <w:sz w:val="21"/>
            <w:szCs w:val="21"/>
          </w:rPr>
          <w:t>Themcos@aol.com</w:t>
        </w:r>
      </w:hyperlink>
      <w:r w:rsidRPr="00E36556">
        <w:rPr>
          <w:rFonts w:asciiTheme="majorHAnsi" w:hAnsiTheme="majorHAnsi"/>
          <w:sz w:val="21"/>
          <w:szCs w:val="21"/>
        </w:rPr>
        <w:t>) and</w:t>
      </w:r>
      <w:r w:rsidR="00BB49A0">
        <w:rPr>
          <w:rFonts w:asciiTheme="majorHAnsi" w:hAnsiTheme="majorHAnsi"/>
          <w:sz w:val="21"/>
          <w:szCs w:val="21"/>
        </w:rPr>
        <w:t>/or</w:t>
      </w:r>
      <w:r w:rsidRPr="00E36556">
        <w:rPr>
          <w:rFonts w:asciiTheme="majorHAnsi" w:hAnsiTheme="majorHAnsi"/>
          <w:sz w:val="21"/>
          <w:szCs w:val="21"/>
        </w:rPr>
        <w:t xml:space="preserve"> Kerri Conn (</w:t>
      </w:r>
      <w:hyperlink r:id="rId9" w:history="1">
        <w:r w:rsidRPr="00E36556">
          <w:rPr>
            <w:rStyle w:val="Hyperlink"/>
            <w:rFonts w:asciiTheme="majorHAnsi" w:hAnsiTheme="majorHAnsi"/>
            <w:sz w:val="21"/>
            <w:szCs w:val="21"/>
          </w:rPr>
          <w:t>kconn@atis.org</w:t>
        </w:r>
      </w:hyperlink>
      <w:r w:rsidRPr="00E36556">
        <w:rPr>
          <w:rFonts w:asciiTheme="majorHAnsi" w:hAnsiTheme="majorHAnsi"/>
          <w:sz w:val="21"/>
          <w:szCs w:val="21"/>
        </w:rPr>
        <w:t xml:space="preserve">) </w:t>
      </w:r>
    </w:p>
    <w:p w:rsidR="00C37CF8" w:rsidRPr="00E36556" w:rsidRDefault="00C37CF8" w:rsidP="00C37CF8">
      <w:pPr>
        <w:pStyle w:val="ListParagraph"/>
        <w:ind w:left="1440"/>
        <w:rPr>
          <w:rFonts w:asciiTheme="majorHAnsi" w:hAnsiTheme="majorHAnsi"/>
          <w:sz w:val="21"/>
          <w:szCs w:val="21"/>
        </w:rPr>
      </w:pPr>
    </w:p>
    <w:sectPr w:rsidR="00C37CF8" w:rsidRPr="00E36556" w:rsidSect="009F070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B69" w:rsidRDefault="00750B69" w:rsidP="003D56A7">
      <w:pPr>
        <w:spacing w:after="0" w:line="240" w:lineRule="auto"/>
      </w:pPr>
      <w:r>
        <w:separator/>
      </w:r>
    </w:p>
  </w:endnote>
  <w:endnote w:type="continuationSeparator" w:id="0">
    <w:p w:rsidR="00750B69" w:rsidRDefault="00750B69" w:rsidP="003D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B69" w:rsidRDefault="00750B69" w:rsidP="003D56A7">
      <w:pPr>
        <w:spacing w:after="0" w:line="240" w:lineRule="auto"/>
      </w:pPr>
      <w:r>
        <w:separator/>
      </w:r>
    </w:p>
  </w:footnote>
  <w:footnote w:type="continuationSeparator" w:id="0">
    <w:p w:rsidR="00750B69" w:rsidRDefault="00750B69" w:rsidP="003D56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8D" w:rsidRDefault="00BB49A0">
    <w:pPr>
      <w:pStyle w:val="Header"/>
    </w:pPr>
    <w:r>
      <w:t>ACTA</w:t>
    </w:r>
    <w:r w:rsidR="00C03A8D">
      <w:t>-11-0</w:t>
    </w:r>
    <w:r w:rsidR="00045A1C">
      <w:t>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87C79"/>
    <w:multiLevelType w:val="hybridMultilevel"/>
    <w:tmpl w:val="1102C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2A04B3"/>
    <w:multiLevelType w:val="hybridMultilevel"/>
    <w:tmpl w:val="1188E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F2A71"/>
    <w:multiLevelType w:val="hybridMultilevel"/>
    <w:tmpl w:val="BDC481FC"/>
    <w:lvl w:ilvl="0" w:tplc="452E60C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4E7"/>
    <w:rsid w:val="00045A1C"/>
    <w:rsid w:val="00096742"/>
    <w:rsid w:val="000C36C6"/>
    <w:rsid w:val="001C6796"/>
    <w:rsid w:val="00221919"/>
    <w:rsid w:val="002264E7"/>
    <w:rsid w:val="002D3CC8"/>
    <w:rsid w:val="003D56A7"/>
    <w:rsid w:val="004375A9"/>
    <w:rsid w:val="00750B69"/>
    <w:rsid w:val="007D62F1"/>
    <w:rsid w:val="00930924"/>
    <w:rsid w:val="00976473"/>
    <w:rsid w:val="00983E4F"/>
    <w:rsid w:val="009F0701"/>
    <w:rsid w:val="00A873A8"/>
    <w:rsid w:val="00B255F3"/>
    <w:rsid w:val="00BB49A0"/>
    <w:rsid w:val="00C03A8D"/>
    <w:rsid w:val="00C37CF8"/>
    <w:rsid w:val="00CC3B03"/>
    <w:rsid w:val="00D459E2"/>
    <w:rsid w:val="00E365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4E7"/>
    <w:pPr>
      <w:ind w:left="720"/>
      <w:contextualSpacing/>
    </w:pPr>
  </w:style>
  <w:style w:type="character" w:styleId="Hyperlink">
    <w:name w:val="Hyperlink"/>
    <w:uiPriority w:val="99"/>
    <w:unhideWhenUsed/>
    <w:rsid w:val="00C37CF8"/>
    <w:rPr>
      <w:color w:val="0000FF"/>
      <w:u w:val="single"/>
    </w:rPr>
  </w:style>
  <w:style w:type="paragraph" w:styleId="Header">
    <w:name w:val="header"/>
    <w:basedOn w:val="Normal"/>
    <w:link w:val="HeaderChar"/>
    <w:uiPriority w:val="99"/>
    <w:unhideWhenUsed/>
    <w:rsid w:val="003D5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6A7"/>
    <w:rPr>
      <w:sz w:val="22"/>
      <w:szCs w:val="22"/>
    </w:rPr>
  </w:style>
  <w:style w:type="paragraph" w:styleId="Footer">
    <w:name w:val="footer"/>
    <w:basedOn w:val="Normal"/>
    <w:link w:val="FooterChar"/>
    <w:uiPriority w:val="99"/>
    <w:unhideWhenUsed/>
    <w:rsid w:val="003D5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6A7"/>
    <w:rPr>
      <w:sz w:val="22"/>
      <w:szCs w:val="22"/>
    </w:rPr>
  </w:style>
  <w:style w:type="character" w:styleId="CommentReference">
    <w:name w:val="annotation reference"/>
    <w:basedOn w:val="DefaultParagraphFont"/>
    <w:uiPriority w:val="99"/>
    <w:semiHidden/>
    <w:unhideWhenUsed/>
    <w:rsid w:val="00C03A8D"/>
    <w:rPr>
      <w:sz w:val="16"/>
      <w:szCs w:val="16"/>
    </w:rPr>
  </w:style>
  <w:style w:type="paragraph" w:styleId="CommentText">
    <w:name w:val="annotation text"/>
    <w:basedOn w:val="Normal"/>
    <w:link w:val="CommentTextChar"/>
    <w:uiPriority w:val="99"/>
    <w:semiHidden/>
    <w:unhideWhenUsed/>
    <w:rsid w:val="00C03A8D"/>
    <w:pPr>
      <w:spacing w:line="240" w:lineRule="auto"/>
    </w:pPr>
    <w:rPr>
      <w:sz w:val="20"/>
      <w:szCs w:val="20"/>
    </w:rPr>
  </w:style>
  <w:style w:type="character" w:customStyle="1" w:styleId="CommentTextChar">
    <w:name w:val="Comment Text Char"/>
    <w:basedOn w:val="DefaultParagraphFont"/>
    <w:link w:val="CommentText"/>
    <w:uiPriority w:val="99"/>
    <w:semiHidden/>
    <w:rsid w:val="00C03A8D"/>
  </w:style>
  <w:style w:type="paragraph" w:styleId="CommentSubject">
    <w:name w:val="annotation subject"/>
    <w:basedOn w:val="CommentText"/>
    <w:next w:val="CommentText"/>
    <w:link w:val="CommentSubjectChar"/>
    <w:uiPriority w:val="99"/>
    <w:semiHidden/>
    <w:unhideWhenUsed/>
    <w:rsid w:val="00C03A8D"/>
    <w:rPr>
      <w:b/>
      <w:bCs/>
    </w:rPr>
  </w:style>
  <w:style w:type="character" w:customStyle="1" w:styleId="CommentSubjectChar">
    <w:name w:val="Comment Subject Char"/>
    <w:basedOn w:val="CommentTextChar"/>
    <w:link w:val="CommentSubject"/>
    <w:uiPriority w:val="99"/>
    <w:semiHidden/>
    <w:rsid w:val="00C03A8D"/>
    <w:rPr>
      <w:b/>
      <w:bCs/>
    </w:rPr>
  </w:style>
  <w:style w:type="paragraph" w:styleId="BalloonText">
    <w:name w:val="Balloon Text"/>
    <w:basedOn w:val="Normal"/>
    <w:link w:val="BalloonTextChar"/>
    <w:uiPriority w:val="99"/>
    <w:semiHidden/>
    <w:unhideWhenUsed/>
    <w:rsid w:val="00C03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A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4E7"/>
    <w:pPr>
      <w:ind w:left="720"/>
      <w:contextualSpacing/>
    </w:pPr>
  </w:style>
  <w:style w:type="character" w:styleId="Hyperlink">
    <w:name w:val="Hyperlink"/>
    <w:uiPriority w:val="99"/>
    <w:unhideWhenUsed/>
    <w:rsid w:val="00C37CF8"/>
    <w:rPr>
      <w:color w:val="0000FF"/>
      <w:u w:val="single"/>
    </w:rPr>
  </w:style>
  <w:style w:type="paragraph" w:styleId="Header">
    <w:name w:val="header"/>
    <w:basedOn w:val="Normal"/>
    <w:link w:val="HeaderChar"/>
    <w:uiPriority w:val="99"/>
    <w:unhideWhenUsed/>
    <w:rsid w:val="003D5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6A7"/>
    <w:rPr>
      <w:sz w:val="22"/>
      <w:szCs w:val="22"/>
    </w:rPr>
  </w:style>
  <w:style w:type="paragraph" w:styleId="Footer">
    <w:name w:val="footer"/>
    <w:basedOn w:val="Normal"/>
    <w:link w:val="FooterChar"/>
    <w:uiPriority w:val="99"/>
    <w:unhideWhenUsed/>
    <w:rsid w:val="003D5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6A7"/>
    <w:rPr>
      <w:sz w:val="22"/>
      <w:szCs w:val="22"/>
    </w:rPr>
  </w:style>
  <w:style w:type="character" w:styleId="CommentReference">
    <w:name w:val="annotation reference"/>
    <w:basedOn w:val="DefaultParagraphFont"/>
    <w:uiPriority w:val="99"/>
    <w:semiHidden/>
    <w:unhideWhenUsed/>
    <w:rsid w:val="00C03A8D"/>
    <w:rPr>
      <w:sz w:val="16"/>
      <w:szCs w:val="16"/>
    </w:rPr>
  </w:style>
  <w:style w:type="paragraph" w:styleId="CommentText">
    <w:name w:val="annotation text"/>
    <w:basedOn w:val="Normal"/>
    <w:link w:val="CommentTextChar"/>
    <w:uiPriority w:val="99"/>
    <w:semiHidden/>
    <w:unhideWhenUsed/>
    <w:rsid w:val="00C03A8D"/>
    <w:pPr>
      <w:spacing w:line="240" w:lineRule="auto"/>
    </w:pPr>
    <w:rPr>
      <w:sz w:val="20"/>
      <w:szCs w:val="20"/>
    </w:rPr>
  </w:style>
  <w:style w:type="character" w:customStyle="1" w:styleId="CommentTextChar">
    <w:name w:val="Comment Text Char"/>
    <w:basedOn w:val="DefaultParagraphFont"/>
    <w:link w:val="CommentText"/>
    <w:uiPriority w:val="99"/>
    <w:semiHidden/>
    <w:rsid w:val="00C03A8D"/>
  </w:style>
  <w:style w:type="paragraph" w:styleId="CommentSubject">
    <w:name w:val="annotation subject"/>
    <w:basedOn w:val="CommentText"/>
    <w:next w:val="CommentText"/>
    <w:link w:val="CommentSubjectChar"/>
    <w:uiPriority w:val="99"/>
    <w:semiHidden/>
    <w:unhideWhenUsed/>
    <w:rsid w:val="00C03A8D"/>
    <w:rPr>
      <w:b/>
      <w:bCs/>
    </w:rPr>
  </w:style>
  <w:style w:type="character" w:customStyle="1" w:styleId="CommentSubjectChar">
    <w:name w:val="Comment Subject Char"/>
    <w:basedOn w:val="CommentTextChar"/>
    <w:link w:val="CommentSubject"/>
    <w:uiPriority w:val="99"/>
    <w:semiHidden/>
    <w:rsid w:val="00C03A8D"/>
    <w:rPr>
      <w:b/>
      <w:bCs/>
    </w:rPr>
  </w:style>
  <w:style w:type="paragraph" w:styleId="BalloonText">
    <w:name w:val="Balloon Text"/>
    <w:basedOn w:val="Normal"/>
    <w:link w:val="BalloonTextChar"/>
    <w:uiPriority w:val="99"/>
    <w:semiHidden/>
    <w:unhideWhenUsed/>
    <w:rsid w:val="00C03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mcos@ao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conn@ati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3393</CharactersWithSpaces>
  <SharedDoc>false</SharedDoc>
  <HLinks>
    <vt:vector size="24" baseType="variant">
      <vt:variant>
        <vt:i4>6029423</vt:i4>
      </vt:variant>
      <vt:variant>
        <vt:i4>9</vt:i4>
      </vt:variant>
      <vt:variant>
        <vt:i4>0</vt:i4>
      </vt:variant>
      <vt:variant>
        <vt:i4>5</vt:i4>
      </vt:variant>
      <vt:variant>
        <vt:lpwstr>mailto:kconn@atis.org</vt:lpwstr>
      </vt:variant>
      <vt:variant>
        <vt:lpwstr/>
      </vt:variant>
      <vt:variant>
        <vt:i4>6291534</vt:i4>
      </vt:variant>
      <vt:variant>
        <vt:i4>6</vt:i4>
      </vt:variant>
      <vt:variant>
        <vt:i4>0</vt:i4>
      </vt:variant>
      <vt:variant>
        <vt:i4>5</vt:i4>
      </vt:variant>
      <vt:variant>
        <vt:lpwstr>mailto:Themcos@aol.com</vt:lpwstr>
      </vt:variant>
      <vt:variant>
        <vt:lpwstr/>
      </vt:variant>
      <vt:variant>
        <vt:i4>8257588</vt:i4>
      </vt:variant>
      <vt:variant>
        <vt:i4>3</vt:i4>
      </vt:variant>
      <vt:variant>
        <vt:i4>0</vt:i4>
      </vt:variant>
      <vt:variant>
        <vt:i4>5</vt:i4>
      </vt:variant>
      <vt:variant>
        <vt:lpwstr>http://www.atis.org/PRESS/pressreleases2011/021111.html</vt:lpwstr>
      </vt:variant>
      <vt:variant>
        <vt:lpwstr/>
      </vt:variant>
      <vt:variant>
        <vt:i4>4784177</vt:i4>
      </vt:variant>
      <vt:variant>
        <vt:i4>0</vt:i4>
      </vt:variant>
      <vt:variant>
        <vt:i4>0</vt:i4>
      </vt:variant>
      <vt:variant>
        <vt:i4>5</vt:i4>
      </vt:variant>
      <vt:variant>
        <vt:lpwstr>http://www.atis.org/legal/Docs/ACTA/CGB-2010_Biennial_Review_Final.pdf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Kerrianne Conn</dc:creator>
  <cp:lastModifiedBy>Kerrianne Conn</cp:lastModifiedBy>
  <cp:revision>3</cp:revision>
  <dcterms:created xsi:type="dcterms:W3CDTF">2011-06-06T13:57:00Z</dcterms:created>
  <dcterms:modified xsi:type="dcterms:W3CDTF">2011-06-06T13:58:00Z</dcterms:modified>
</cp:coreProperties>
</file>